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after="299" w:line="240" w:lineRule="auto"/>
        <w:rPr>
          <w:rFonts w:ascii="Times New Roman" w:cs="Times New Roman" w:hAnsi="Times New Roman" w:eastAsia="Times New Roman"/>
          <w:b w:val="1"/>
          <w:bCs w:val="1"/>
          <w:sz w:val="36"/>
          <w:szCs w:val="36"/>
        </w:rPr>
      </w:pPr>
      <w:r>
        <w:rPr>
          <w:rFonts w:ascii="Times New Roman" w:hAnsi="Times New Roman"/>
          <w:b w:val="1"/>
          <w:bCs w:val="1"/>
          <w:sz w:val="36"/>
          <w:szCs w:val="36"/>
          <w:rtl w:val="0"/>
          <w:lang w:val="en-US"/>
        </w:rPr>
        <w:t xml:space="preserve">Implement the </w:t>
      </w:r>
      <w:r>
        <w:rPr>
          <w:rFonts w:ascii="Times New Roman" w:hAnsi="Times New Roman" w:hint="default"/>
          <w:b w:val="1"/>
          <w:bCs w:val="1"/>
          <w:sz w:val="36"/>
          <w:szCs w:val="36"/>
          <w:rtl w:val="1"/>
          <w:lang w:val="ar-SA" w:bidi="ar-SA"/>
        </w:rPr>
        <w:t>“</w:t>
      </w:r>
      <w:r>
        <w:rPr>
          <w:rFonts w:ascii="Times New Roman" w:hAnsi="Times New Roman"/>
          <w:b w:val="1"/>
          <w:bCs w:val="1"/>
          <w:sz w:val="36"/>
          <w:szCs w:val="36"/>
          <w:rtl w:val="0"/>
          <w:lang w:val="en-US"/>
        </w:rPr>
        <w:t>Right to Hope</w:t>
      </w:r>
      <w:r>
        <w:rPr>
          <w:rFonts w:ascii="Times New Roman" w:hAnsi="Times New Roman" w:hint="default"/>
          <w:b w:val="1"/>
          <w:bCs w:val="1"/>
          <w:sz w:val="36"/>
          <w:szCs w:val="36"/>
          <w:rtl w:val="0"/>
          <w:lang w:val="en-US"/>
        </w:rPr>
        <w:t xml:space="preserve">” — </w:t>
      </w:r>
      <w:r>
        <w:rPr>
          <w:rFonts w:ascii="Times New Roman" w:hAnsi="Times New Roman"/>
          <w:b w:val="1"/>
          <w:bCs w:val="1"/>
          <w:sz w:val="36"/>
          <w:szCs w:val="36"/>
          <w:rtl w:val="0"/>
        </w:rPr>
        <w:t xml:space="preserve">Free Abdullah </w:t>
      </w:r>
      <w:r>
        <w:rPr>
          <w:rFonts w:ascii="Times New Roman" w:hAnsi="Times New Roman" w:hint="default"/>
          <w:b w:val="1"/>
          <w:bCs w:val="1"/>
          <w:sz w:val="36"/>
          <w:szCs w:val="36"/>
          <w:rtl w:val="0"/>
        </w:rPr>
        <w:t>Ö</w:t>
      </w:r>
      <w:r>
        <w:rPr>
          <w:rFonts w:ascii="Times New Roman" w:hAnsi="Times New Roman"/>
          <w:b w:val="1"/>
          <w:bCs w:val="1"/>
          <w:sz w:val="36"/>
          <w:szCs w:val="36"/>
          <w:rtl w:val="0"/>
        </w:rPr>
        <w:t>calan</w:t>
      </w:r>
    </w:p>
    <w:p>
      <w:pPr>
        <w:pStyle w:val="Default"/>
        <w:suppressAutoHyphens w:val="1"/>
        <w:spacing w:before="0" w:after="120" w:line="240" w:lineRule="auto"/>
        <w:rPr>
          <w:rFonts w:ascii="Times New Roman" w:cs="Times New Roman" w:hAnsi="Times New Roman" w:eastAsia="Times New Roman"/>
        </w:rPr>
      </w:pPr>
      <w:r>
        <w:rPr>
          <w:rFonts w:ascii="Times New Roman" w:hAnsi="Times New Roman"/>
          <w:rtl w:val="0"/>
          <w:lang w:val="en-US"/>
        </w:rPr>
        <w:t xml:space="preserve">In 2014, the European Court of Human Rights ruled in </w:t>
      </w:r>
      <w:r>
        <w:rPr>
          <w:rFonts w:ascii="Times New Roman" w:hAnsi="Times New Roman" w:hint="default"/>
          <w:rtl w:val="0"/>
        </w:rPr>
        <w:t>Ö</w:t>
      </w:r>
      <w:r>
        <w:rPr>
          <w:rFonts w:ascii="Times New Roman" w:hAnsi="Times New Roman"/>
          <w:rtl w:val="0"/>
        </w:rPr>
        <w:t>calan v. T</w:t>
      </w:r>
      <w:r>
        <w:rPr>
          <w:rFonts w:ascii="Times New Roman" w:hAnsi="Times New Roman" w:hint="default"/>
          <w:rtl w:val="0"/>
        </w:rPr>
        <w:t>ü</w:t>
      </w:r>
      <w:r>
        <w:rPr>
          <w:rFonts w:ascii="Times New Roman" w:hAnsi="Times New Roman"/>
          <w:rtl w:val="0"/>
        </w:rPr>
        <w:t xml:space="preserve">rkiye (No. 2) judgment that Abdullah </w:t>
      </w:r>
      <w:r>
        <w:rPr>
          <w:rFonts w:ascii="Times New Roman" w:hAnsi="Times New Roman" w:hint="default"/>
          <w:rtl w:val="0"/>
        </w:rPr>
        <w:t>Ö</w:t>
      </w:r>
      <w:r>
        <w:rPr>
          <w:rFonts w:ascii="Times New Roman" w:hAnsi="Times New Roman"/>
          <w:rtl w:val="0"/>
        </w:rPr>
        <w:t>calan</w:t>
      </w:r>
      <w:r>
        <w:rPr>
          <w:rFonts w:ascii="Times New Roman" w:hAnsi="Times New Roman" w:hint="default"/>
          <w:rtl w:val="1"/>
        </w:rPr>
        <w:t>’</w:t>
      </w:r>
      <w:r>
        <w:rPr>
          <w:rFonts w:ascii="Times New Roman" w:hAnsi="Times New Roman"/>
          <w:rtl w:val="0"/>
          <w:lang w:val="en-US"/>
        </w:rPr>
        <w:t xml:space="preserve">s aggravated life sentence violated the prohibition of torture under Article 3 of the European Convention on Human Rights and affirmed the need to recognise a </w:t>
      </w:r>
      <w:r>
        <w:rPr>
          <w:rFonts w:ascii="Times New Roman" w:hAnsi="Times New Roman" w:hint="default"/>
          <w:rtl w:val="1"/>
          <w:lang w:val="ar-SA" w:bidi="ar-SA"/>
        </w:rPr>
        <w:t>“</w:t>
      </w:r>
      <w:r>
        <w:rPr>
          <w:rFonts w:ascii="Times New Roman" w:hAnsi="Times New Roman"/>
          <w:rtl w:val="0"/>
          <w:lang w:val="en-US"/>
        </w:rPr>
        <w:t>right to hope.</w:t>
      </w:r>
      <w:r>
        <w:rPr>
          <w:rFonts w:ascii="Times New Roman" w:hAnsi="Times New Roman" w:hint="default"/>
          <w:rtl w:val="0"/>
        </w:rPr>
        <w:t>”</w:t>
      </w:r>
    </w:p>
    <w:p>
      <w:pPr>
        <w:pStyle w:val="Default"/>
        <w:suppressAutoHyphens w:val="1"/>
        <w:spacing w:before="0" w:after="120" w:line="240" w:lineRule="auto"/>
        <w:rPr>
          <w:rFonts w:ascii="Times New Roman" w:cs="Times New Roman" w:hAnsi="Times New Roman" w:eastAsia="Times New Roman"/>
        </w:rPr>
      </w:pPr>
      <w:r>
        <w:rPr>
          <w:rFonts w:ascii="Times New Roman" w:hAnsi="Times New Roman"/>
          <w:rtl w:val="0"/>
          <w:lang w:val="en-US"/>
        </w:rPr>
        <w:t>More than a decade later, T</w:t>
      </w:r>
      <w:r>
        <w:rPr>
          <w:rFonts w:ascii="Times New Roman" w:hAnsi="Times New Roman" w:hint="default"/>
          <w:rtl w:val="0"/>
        </w:rPr>
        <w:t>ü</w:t>
      </w:r>
      <w:r>
        <w:rPr>
          <w:rFonts w:ascii="Times New Roman" w:hAnsi="Times New Roman"/>
          <w:rtl w:val="0"/>
          <w:lang w:val="en-US"/>
        </w:rPr>
        <w:t>rkiye has still failed to implement the judgment</w:t>
      </w:r>
      <w:r>
        <w:rPr>
          <w:rFonts w:ascii="Times New Roman" w:hAnsi="Times New Roman"/>
          <w:rtl w:val="0"/>
          <w:lang w:val="en-US"/>
        </w:rPr>
        <w:t>,</w:t>
      </w:r>
      <w:r>
        <w:rPr>
          <w:rFonts w:ascii="Times New Roman" w:hAnsi="Times New Roman"/>
          <w:rtl w:val="0"/>
          <w:lang w:val="en-US"/>
        </w:rPr>
        <w:t xml:space="preserve"> and no effective legislative reform has been adopted despite repeated calls from the Council of Europe and its Committee of Ministers.</w:t>
      </w:r>
    </w:p>
    <w:p>
      <w:pPr>
        <w:pStyle w:val="Default"/>
        <w:suppressAutoHyphens w:val="1"/>
        <w:spacing w:before="0" w:after="120" w:line="240" w:lineRule="auto"/>
        <w:rPr>
          <w:rFonts w:ascii="Times New Roman" w:cs="Times New Roman" w:hAnsi="Times New Roman" w:eastAsia="Times New Roman"/>
        </w:rPr>
      </w:pPr>
      <w:r>
        <w:rPr>
          <w:rFonts w:ascii="Times New Roman" w:hAnsi="Times New Roman"/>
          <w:rtl w:val="0"/>
          <w:lang w:val="en-US"/>
        </w:rPr>
        <w:t>At its September 2025 meeting, the Committee of Ministers urged T</w:t>
      </w:r>
      <w:r>
        <w:rPr>
          <w:rFonts w:ascii="Times New Roman" w:hAnsi="Times New Roman" w:hint="default"/>
          <w:rtl w:val="0"/>
        </w:rPr>
        <w:t>ü</w:t>
      </w:r>
      <w:r>
        <w:rPr>
          <w:rFonts w:ascii="Times New Roman" w:hAnsi="Times New Roman"/>
          <w:rtl w:val="0"/>
          <w:lang w:val="en-US"/>
        </w:rPr>
        <w:t>rkiye to act without delay and highlighted possible legal reforms, including the introduction of a review mechanism for aggravated life sentences. T</w:t>
      </w:r>
      <w:r>
        <w:rPr>
          <w:rFonts w:ascii="Times New Roman" w:hAnsi="Times New Roman" w:hint="default"/>
          <w:rtl w:val="0"/>
        </w:rPr>
        <w:t>ü</w:t>
      </w:r>
      <w:r>
        <w:rPr>
          <w:rFonts w:ascii="Times New Roman" w:hAnsi="Times New Roman"/>
          <w:rtl w:val="0"/>
          <w:lang w:val="en-US"/>
        </w:rPr>
        <w:t>rkiye was given until the end of June 2026 to submit an action plan outlining how it intended to implement the necessary legal changes.</w:t>
      </w:r>
      <w:r>
        <w:rPr>
          <w:rFonts w:ascii="Times New Roman" w:hAnsi="Times New Roman"/>
          <w:rtl w:val="0"/>
          <w:lang w:val="en-US"/>
        </w:rPr>
        <w:t xml:space="preserve"> </w:t>
      </w:r>
      <w:r>
        <w:rPr>
          <w:rFonts w:ascii="Times New Roman" w:hAnsi="Times New Roman"/>
          <w:rtl w:val="0"/>
          <w:lang w:val="en-US"/>
        </w:rPr>
        <w:t>However, no concrete progress has followed. Parliamentary discussions and official reports in T</w:t>
      </w:r>
      <w:r>
        <w:rPr>
          <w:rFonts w:ascii="Times New Roman" w:hAnsi="Times New Roman" w:hint="default"/>
          <w:rtl w:val="0"/>
        </w:rPr>
        <w:t>ü</w:t>
      </w:r>
      <w:r>
        <w:rPr>
          <w:rFonts w:ascii="Times New Roman" w:hAnsi="Times New Roman"/>
          <w:rtl w:val="0"/>
          <w:lang w:val="en-US"/>
        </w:rPr>
        <w:t xml:space="preserve">rkiye have continued to avoid addressing the issue of the </w:t>
      </w:r>
      <w:r>
        <w:rPr>
          <w:rFonts w:ascii="Times New Roman" w:hAnsi="Times New Roman" w:hint="default"/>
          <w:rtl w:val="1"/>
          <w:lang w:val="ar-SA" w:bidi="ar-SA"/>
        </w:rPr>
        <w:t>“</w:t>
      </w:r>
      <w:r>
        <w:rPr>
          <w:rFonts w:ascii="Times New Roman" w:hAnsi="Times New Roman"/>
          <w:rtl w:val="0"/>
          <w:lang w:val="en-US"/>
        </w:rPr>
        <w:t>right to hope.</w:t>
      </w:r>
      <w:r>
        <w:rPr>
          <w:rFonts w:ascii="Times New Roman" w:hAnsi="Times New Roman" w:hint="default"/>
          <w:rtl w:val="0"/>
        </w:rPr>
        <w:t>”</w:t>
      </w:r>
    </w:p>
    <w:p>
      <w:pPr>
        <w:pStyle w:val="Default"/>
        <w:suppressAutoHyphens w:val="1"/>
        <w:spacing w:before="0" w:after="120" w:line="240" w:lineRule="auto"/>
        <w:rPr>
          <w:rFonts w:ascii="Times New Roman" w:cs="Times New Roman" w:hAnsi="Times New Roman" w:eastAsia="Times New Roman"/>
        </w:rPr>
      </w:pPr>
      <w:r>
        <w:rPr>
          <w:rFonts w:ascii="Times New Roman" w:hAnsi="Times New Roman"/>
          <w:rtl w:val="0"/>
        </w:rPr>
        <w:t xml:space="preserve">Abdullah </w:t>
      </w:r>
      <w:r>
        <w:rPr>
          <w:rFonts w:ascii="Times New Roman" w:hAnsi="Times New Roman" w:hint="default"/>
          <w:rtl w:val="0"/>
        </w:rPr>
        <w:t>Ö</w:t>
      </w:r>
      <w:r>
        <w:rPr>
          <w:rFonts w:ascii="Times New Roman" w:hAnsi="Times New Roman"/>
          <w:rtl w:val="0"/>
          <w:lang w:val="en-US"/>
        </w:rPr>
        <w:t xml:space="preserve">calan has been imprisoned for more than 27 years. Throughout this time, he has consistently used every available opportunity to advocate for peace and a political resolution to the Kurdish question. In the context of the ongoing peace process, he remains a central political actor, widely regarded as </w:t>
      </w:r>
      <w:r>
        <w:rPr>
          <w:rFonts w:ascii="Times New Roman" w:hAnsi="Times New Roman"/>
          <w:rtl w:val="0"/>
          <w:lang w:val="en-US"/>
        </w:rPr>
        <w:t xml:space="preserve">the </w:t>
      </w:r>
      <w:r>
        <w:rPr>
          <w:rFonts w:ascii="Times New Roman" w:hAnsi="Times New Roman"/>
          <w:rtl w:val="0"/>
          <w:lang w:val="it-IT"/>
        </w:rPr>
        <w:t>representative</w:t>
      </w:r>
      <w:r>
        <w:rPr>
          <w:rFonts w:ascii="Times New Roman" w:hAnsi="Times New Roman"/>
          <w:rtl w:val="0"/>
          <w:lang w:val="en-US"/>
        </w:rPr>
        <w:t xml:space="preserve"> of the Kurdish people</w:t>
      </w:r>
      <w:r>
        <w:rPr>
          <w:rFonts w:ascii="Times New Roman" w:hAnsi="Times New Roman"/>
          <w:rtl w:val="0"/>
          <w:lang w:val="en-US"/>
        </w:rPr>
        <w:t xml:space="preserve"> and</w:t>
      </w:r>
      <w:r>
        <w:rPr>
          <w:rFonts w:ascii="Times New Roman" w:hAnsi="Times New Roman"/>
          <w:rtl w:val="0"/>
          <w:lang w:val="en-US"/>
        </w:rPr>
        <w:t xml:space="preserve"> a key</w:t>
      </w:r>
      <w:r>
        <w:rPr>
          <w:rFonts w:ascii="Times New Roman" w:hAnsi="Times New Roman"/>
          <w:rtl w:val="0"/>
          <w:lang w:val="en-US"/>
        </w:rPr>
        <w:t xml:space="preserve"> interlocutor. Yet despite this role, he continues to be held under highly restrictive conditions, with limited access to fundamental rights and an unresolved legal status.</w:t>
      </w:r>
    </w:p>
    <w:p>
      <w:pPr>
        <w:pStyle w:val="Default"/>
        <w:suppressAutoHyphens w:val="1"/>
        <w:spacing w:before="0" w:after="120" w:line="240" w:lineRule="auto"/>
        <w:rPr>
          <w:rFonts w:ascii="Times New Roman" w:cs="Times New Roman" w:hAnsi="Times New Roman" w:eastAsia="Times New Roman"/>
        </w:rPr>
      </w:pPr>
      <w:r>
        <w:rPr>
          <w:rFonts w:ascii="Times New Roman" w:hAnsi="Times New Roman"/>
          <w:rtl w:val="0"/>
          <w:lang w:val="en-US"/>
        </w:rPr>
        <w:t xml:space="preserve">Recognising the </w:t>
      </w:r>
      <w:r>
        <w:rPr>
          <w:rFonts w:ascii="Times New Roman" w:hAnsi="Times New Roman" w:hint="default"/>
          <w:rtl w:val="1"/>
          <w:lang w:val="ar-SA" w:bidi="ar-SA"/>
        </w:rPr>
        <w:t>“</w:t>
      </w:r>
      <w:r>
        <w:rPr>
          <w:rFonts w:ascii="Times New Roman" w:hAnsi="Times New Roman"/>
          <w:rtl w:val="0"/>
          <w:lang w:val="en-US"/>
        </w:rPr>
        <w:t>right to hope</w:t>
      </w:r>
      <w:r>
        <w:rPr>
          <w:rFonts w:ascii="Times New Roman" w:hAnsi="Times New Roman" w:hint="default"/>
          <w:rtl w:val="0"/>
        </w:rPr>
        <w:t xml:space="preserve">” </w:t>
      </w:r>
      <w:r>
        <w:rPr>
          <w:rFonts w:ascii="Times New Roman" w:hAnsi="Times New Roman"/>
          <w:rtl w:val="0"/>
          <w:lang w:val="en-US"/>
        </w:rPr>
        <w:t xml:space="preserve">in his case would constitute an important first step toward ending the regime of extreme </w:t>
      </w:r>
      <w:r>
        <w:rPr>
          <w:rFonts w:ascii="Times New Roman" w:hAnsi="Times New Roman"/>
          <w:rtl w:val="0"/>
          <w:lang w:val="en-US"/>
        </w:rPr>
        <w:t xml:space="preserve">isolation, </w:t>
      </w:r>
      <w:r>
        <w:rPr>
          <w:rFonts w:ascii="Times New Roman" w:hAnsi="Times New Roman"/>
          <w:rtl w:val="0"/>
          <w:lang w:val="en-US"/>
        </w:rPr>
        <w:t>and toward establishing a legal basis for release. Aligning T</w:t>
      </w:r>
      <w:r>
        <w:rPr>
          <w:rFonts w:ascii="Times New Roman" w:hAnsi="Times New Roman" w:hint="default"/>
          <w:rtl w:val="0"/>
        </w:rPr>
        <w:t>ü</w:t>
      </w:r>
      <w:r>
        <w:rPr>
          <w:rFonts w:ascii="Times New Roman" w:hAnsi="Times New Roman"/>
          <w:rtl w:val="0"/>
        </w:rPr>
        <w:t>rkiye</w:t>
      </w:r>
      <w:r>
        <w:rPr>
          <w:rFonts w:ascii="Times New Roman" w:hAnsi="Times New Roman" w:hint="default"/>
          <w:rtl w:val="1"/>
        </w:rPr>
        <w:t>’</w:t>
      </w:r>
      <w:r>
        <w:rPr>
          <w:rFonts w:ascii="Times New Roman" w:hAnsi="Times New Roman"/>
          <w:rtl w:val="0"/>
          <w:lang w:val="en-US"/>
        </w:rPr>
        <w:t xml:space="preserve">s execution-of-sentences regime with its human rights obligations would not only affect </w:t>
      </w:r>
      <w:r>
        <w:rPr>
          <w:rFonts w:ascii="Times New Roman" w:hAnsi="Times New Roman" w:hint="default"/>
          <w:rtl w:val="0"/>
        </w:rPr>
        <w:t>Ö</w:t>
      </w:r>
      <w:r>
        <w:rPr>
          <w:rFonts w:ascii="Times New Roman" w:hAnsi="Times New Roman"/>
          <w:rtl w:val="0"/>
        </w:rPr>
        <w:t>calan</w:t>
      </w:r>
      <w:r>
        <w:rPr>
          <w:rFonts w:ascii="Times New Roman" w:hAnsi="Times New Roman" w:hint="default"/>
          <w:rtl w:val="1"/>
        </w:rPr>
        <w:t>’</w:t>
      </w:r>
      <w:r>
        <w:rPr>
          <w:rFonts w:ascii="Times New Roman" w:hAnsi="Times New Roman"/>
          <w:rtl w:val="0"/>
          <w:lang w:val="en-US"/>
        </w:rPr>
        <w:t>s case, but would also represent a broader step toward democratisation and the strengthening of the rule of law, with implications for thousands of prisoners held under the same legal framework.</w:t>
      </w:r>
    </w:p>
    <w:p>
      <w:pPr>
        <w:pStyle w:val="Default"/>
        <w:suppressAutoHyphens w:val="1"/>
        <w:spacing w:before="0" w:after="120" w:line="240" w:lineRule="auto"/>
        <w:rPr>
          <w:rFonts w:ascii="Times New Roman" w:cs="Times New Roman" w:hAnsi="Times New Roman" w:eastAsia="Times New Roman"/>
        </w:rPr>
      </w:pPr>
      <w:r>
        <w:rPr>
          <w:rFonts w:ascii="Times New Roman" w:hAnsi="Times New Roman"/>
          <w:rtl w:val="0"/>
          <w:lang w:val="en-US"/>
        </w:rPr>
        <w:t xml:space="preserve">Today, we stand at a critical turning point, where the future of Kurdish society </w:t>
      </w:r>
      <w:r>
        <w:rPr>
          <w:rFonts w:ascii="Times New Roman" w:hAnsi="Times New Roman" w:hint="default"/>
          <w:rtl w:val="0"/>
          <w:lang w:val="en-US"/>
        </w:rPr>
        <w:t xml:space="preserve">— </w:t>
      </w:r>
      <w:r>
        <w:rPr>
          <w:rFonts w:ascii="Times New Roman" w:hAnsi="Times New Roman"/>
          <w:rtl w:val="0"/>
          <w:lang w:val="en-US"/>
        </w:rPr>
        <w:t>and of all peoples in T</w:t>
      </w:r>
      <w:r>
        <w:rPr>
          <w:rFonts w:ascii="Times New Roman" w:hAnsi="Times New Roman" w:hint="default"/>
          <w:rtl w:val="0"/>
        </w:rPr>
        <w:t>ü</w:t>
      </w:r>
      <w:r>
        <w:rPr>
          <w:rFonts w:ascii="Times New Roman" w:hAnsi="Times New Roman"/>
          <w:rtl w:val="0"/>
        </w:rPr>
        <w:t xml:space="preserve">rkiye </w:t>
      </w:r>
      <w:r>
        <w:rPr>
          <w:rFonts w:ascii="Times New Roman" w:hAnsi="Times New Roman" w:hint="default"/>
          <w:rtl w:val="0"/>
          <w:lang w:val="en-US"/>
        </w:rPr>
        <w:t xml:space="preserve">— </w:t>
      </w:r>
      <w:r>
        <w:rPr>
          <w:rFonts w:ascii="Times New Roman" w:hAnsi="Times New Roman"/>
          <w:rtl w:val="0"/>
          <w:lang w:val="en-US"/>
        </w:rPr>
        <w:t>hangs in the balance. Given T</w:t>
      </w:r>
      <w:r>
        <w:rPr>
          <w:rFonts w:ascii="Times New Roman" w:hAnsi="Times New Roman" w:hint="default"/>
          <w:rtl w:val="0"/>
        </w:rPr>
        <w:t>ü</w:t>
      </w:r>
      <w:r>
        <w:rPr>
          <w:rFonts w:ascii="Times New Roman" w:hAnsi="Times New Roman"/>
          <w:rtl w:val="0"/>
        </w:rPr>
        <w:t>rkiye</w:t>
      </w:r>
      <w:r>
        <w:rPr>
          <w:rFonts w:ascii="Times New Roman" w:hAnsi="Times New Roman" w:hint="default"/>
          <w:rtl w:val="1"/>
        </w:rPr>
        <w:t>’</w:t>
      </w:r>
      <w:r>
        <w:rPr>
          <w:rFonts w:ascii="Times New Roman" w:hAnsi="Times New Roman"/>
          <w:rtl w:val="0"/>
          <w:lang w:val="en-US"/>
        </w:rPr>
        <w:t>s role within the wider region, as well as the transnational dimensions of Kurdish communities across Iran, Iraq, and Syria, the outcome will also carry significant implications for the broader Middle East.</w:t>
      </w:r>
      <w:r>
        <w:rPr>
          <w:rFonts w:ascii="Times New Roman" w:hAnsi="Times New Roman"/>
          <w:rtl w:val="0"/>
          <w:lang w:val="en-US"/>
        </w:rPr>
        <w:t xml:space="preserve"> </w:t>
      </w:r>
      <w:r>
        <w:rPr>
          <w:rFonts w:ascii="Times New Roman" w:hAnsi="Times New Roman"/>
          <w:rtl w:val="0"/>
          <w:lang w:val="en-US"/>
        </w:rPr>
        <w:t>One path points toward regional stability, democratic self-governance, and peaceful coexistence; the other toward the escalation of regional conflict and violent extremism, with consequences extending far beyond the Middle East.</w:t>
      </w:r>
    </w:p>
    <w:p>
      <w:pPr>
        <w:pStyle w:val="Default"/>
        <w:suppressAutoHyphens w:val="1"/>
        <w:spacing w:before="0" w:after="120" w:line="240" w:lineRule="auto"/>
        <w:rPr>
          <w:rFonts w:ascii="Times New Roman" w:cs="Times New Roman" w:hAnsi="Times New Roman" w:eastAsia="Times New Roman"/>
        </w:rPr>
      </w:pPr>
      <w:r>
        <w:rPr>
          <w:rFonts w:ascii="Times New Roman" w:hAnsi="Times New Roman"/>
          <w:rtl w:val="0"/>
          <w:lang w:val="en-US"/>
        </w:rPr>
        <w:t xml:space="preserve">In this context, the necessary conditions must be created for Abdullah </w:t>
      </w:r>
      <w:r>
        <w:rPr>
          <w:rFonts w:ascii="Times New Roman" w:hAnsi="Times New Roman" w:hint="default"/>
          <w:rtl w:val="0"/>
        </w:rPr>
        <w:t>Ö</w:t>
      </w:r>
      <w:r>
        <w:rPr>
          <w:rFonts w:ascii="Times New Roman" w:hAnsi="Times New Roman"/>
          <w:rtl w:val="0"/>
          <w:lang w:val="en-US"/>
        </w:rPr>
        <w:t xml:space="preserve">calan to </w:t>
      </w:r>
      <w:r>
        <w:rPr>
          <w:rFonts w:ascii="Times New Roman" w:hAnsi="Times New Roman"/>
          <w:rtl w:val="0"/>
          <w:lang w:val="en-US"/>
        </w:rPr>
        <w:t xml:space="preserve">freely play his role within </w:t>
      </w:r>
      <w:r>
        <w:rPr>
          <w:rFonts w:ascii="Times New Roman" w:hAnsi="Times New Roman"/>
          <w:rtl w:val="0"/>
          <w:lang w:val="en-US"/>
        </w:rPr>
        <w:t xml:space="preserve">ongoing </w:t>
      </w:r>
      <w:r>
        <w:rPr>
          <w:rFonts w:ascii="Times New Roman" w:hAnsi="Times New Roman"/>
          <w:rtl w:val="0"/>
          <w:lang w:val="en-US"/>
        </w:rPr>
        <w:t>process</w:t>
      </w:r>
      <w:r>
        <w:rPr>
          <w:rFonts w:ascii="Times New Roman" w:hAnsi="Times New Roman"/>
          <w:rtl w:val="0"/>
          <w:lang w:val="en-US"/>
        </w:rPr>
        <w:t xml:space="preserve"> and ultimately to be released from prison. For these reasons, we make the following </w:t>
      </w:r>
      <w:r>
        <w:rPr>
          <w:rFonts w:ascii="Times New Roman" w:hAnsi="Times New Roman"/>
          <w:rtl w:val="0"/>
          <w:lang w:val="en-US"/>
        </w:rPr>
        <w:t>demands</w:t>
      </w:r>
      <w:r>
        <w:rPr>
          <w:rFonts w:ascii="Times New Roman" w:hAnsi="Times New Roman"/>
          <w:rtl w:val="0"/>
        </w:rPr>
        <w:t>:</w:t>
      </w:r>
    </w:p>
    <w:p>
      <w:pPr>
        <w:pStyle w:val="Default"/>
        <w:suppressAutoHyphens w:val="1"/>
        <w:spacing w:before="0" w:after="140" w:line="240" w:lineRule="auto"/>
        <w:rPr>
          <w:rFonts w:ascii="Times New Roman" w:cs="Times New Roman" w:hAnsi="Times New Roman" w:eastAsia="Times New Roman"/>
          <w:b w:val="1"/>
          <w:bCs w:val="1"/>
          <w:sz w:val="28"/>
          <w:szCs w:val="28"/>
        </w:rPr>
      </w:pPr>
    </w:p>
    <w:p>
      <w:pPr>
        <w:pStyle w:val="Default"/>
        <w:suppressAutoHyphens w:val="1"/>
        <w:spacing w:before="0" w:after="140" w:line="240" w:lineRule="auto"/>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We Call For:</w:t>
      </w:r>
    </w:p>
    <w:p>
      <w:pPr>
        <w:pStyle w:val="Default"/>
        <w:numPr>
          <w:ilvl w:val="0"/>
          <w:numId w:val="2"/>
        </w:numPr>
        <w:suppressAutoHyphens w:val="1"/>
        <w:spacing w:before="0" w:line="240" w:lineRule="auto"/>
        <w:jc w:val="left"/>
        <w:rPr>
          <w:rFonts w:ascii="Times New Roman" w:hAnsi="Times New Roman"/>
          <w:b w:val="1"/>
          <w:bCs w:val="1"/>
          <w:lang w:val="en-US"/>
        </w:rPr>
      </w:pPr>
      <w:r>
        <w:rPr>
          <w:rFonts w:ascii="Times New Roman" w:hAnsi="Times New Roman"/>
          <w:b w:val="1"/>
          <w:bCs w:val="1"/>
          <w:rtl w:val="0"/>
          <w:lang w:val="en-US"/>
        </w:rPr>
        <w:t xml:space="preserve">Immediate implementation of the 2014 ECHR judgment and recognition of the </w:t>
      </w:r>
      <w:r>
        <w:rPr>
          <w:rFonts w:ascii="Times New Roman" w:hAnsi="Times New Roman" w:hint="default"/>
          <w:b w:val="1"/>
          <w:bCs w:val="1"/>
          <w:rtl w:val="1"/>
          <w:lang w:val="ar-SA" w:bidi="ar-SA"/>
        </w:rPr>
        <w:t>“</w:t>
      </w:r>
      <w:r>
        <w:rPr>
          <w:rFonts w:ascii="Times New Roman" w:hAnsi="Times New Roman"/>
          <w:b w:val="1"/>
          <w:bCs w:val="1"/>
          <w:rtl w:val="0"/>
          <w:lang w:val="en-US"/>
        </w:rPr>
        <w:t>right to hope.</w:t>
      </w:r>
      <w:r>
        <w:rPr>
          <w:rFonts w:ascii="Times New Roman" w:hAnsi="Times New Roman" w:hint="default"/>
          <w:b w:val="1"/>
          <w:bCs w:val="1"/>
          <w:rtl w:val="0"/>
        </w:rPr>
        <w:t>”</w:t>
      </w:r>
    </w:p>
    <w:p>
      <w:pPr>
        <w:pStyle w:val="Default"/>
        <w:numPr>
          <w:ilvl w:val="0"/>
          <w:numId w:val="2"/>
        </w:numPr>
        <w:suppressAutoHyphens w:val="1"/>
        <w:spacing w:before="0" w:line="240" w:lineRule="auto"/>
        <w:jc w:val="left"/>
        <w:rPr>
          <w:rFonts w:ascii="Times New Roman" w:hAnsi="Times New Roman"/>
          <w:b w:val="1"/>
          <w:bCs w:val="1"/>
          <w:lang w:val="en-US"/>
        </w:rPr>
      </w:pPr>
      <w:r>
        <w:rPr>
          <w:rFonts w:ascii="Times New Roman" w:hAnsi="Times New Roman"/>
          <w:b w:val="1"/>
          <w:bCs w:val="1"/>
          <w:rtl w:val="0"/>
          <w:lang w:val="en-US"/>
        </w:rPr>
        <w:t>Stronger supervision and political pressure by the Committee of Ministers, including infringement procedures if necessary.</w:t>
      </w:r>
    </w:p>
    <w:p>
      <w:pPr>
        <w:pStyle w:val="Default"/>
        <w:numPr>
          <w:ilvl w:val="0"/>
          <w:numId w:val="2"/>
        </w:numPr>
        <w:suppressAutoHyphens w:val="1"/>
        <w:spacing w:before="0" w:line="240" w:lineRule="auto"/>
        <w:jc w:val="left"/>
        <w:rPr>
          <w:rFonts w:ascii="Times New Roman" w:hAnsi="Times New Roman"/>
          <w:b w:val="1"/>
          <w:bCs w:val="1"/>
          <w:lang w:val="en-US"/>
        </w:rPr>
      </w:pPr>
      <w:r>
        <w:rPr>
          <w:rFonts w:ascii="Times New Roman" w:hAnsi="Times New Roman"/>
          <w:b w:val="1"/>
          <w:bCs w:val="1"/>
          <w:rtl w:val="0"/>
          <w:lang w:val="en-US"/>
        </w:rPr>
        <w:t xml:space="preserve">The release of Abdullah </w:t>
      </w:r>
      <w:r>
        <w:rPr>
          <w:rFonts w:ascii="Times New Roman" w:hAnsi="Times New Roman" w:hint="default"/>
          <w:b w:val="1"/>
          <w:bCs w:val="1"/>
          <w:rtl w:val="0"/>
        </w:rPr>
        <w:t>Ö</w:t>
      </w:r>
      <w:r>
        <w:rPr>
          <w:rFonts w:ascii="Times New Roman" w:hAnsi="Times New Roman"/>
          <w:b w:val="1"/>
          <w:bCs w:val="1"/>
          <w:rtl w:val="0"/>
          <w:lang w:val="en-US"/>
        </w:rPr>
        <w:t>calan and his full participation in the peace process.</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9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3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60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18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0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2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24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Numbered">
    <w:name w:val="Numbered"/>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